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FB" w:rsidRPr="00A635FB" w:rsidRDefault="00A635FB" w:rsidP="00A635FB">
      <w:pPr>
        <w:spacing w:after="0" w:line="36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A635FB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ТЕЗОВИЙ ЗМІ</w:t>
      </w:r>
      <w:proofErr w:type="gramStart"/>
      <w:r w:rsidRPr="00A635FB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СТ</w:t>
      </w:r>
      <w:proofErr w:type="gramEnd"/>
      <w:r w:rsidRPr="00A635FB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 ТЕОРЕТИЧНОЇ  </w:t>
      </w:r>
    </w:p>
    <w:p w:rsidR="004C6EE4" w:rsidRPr="00A635FB" w:rsidRDefault="00A635FB" w:rsidP="00A635F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35FB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СКЛАДОВОЇ </w:t>
      </w:r>
      <w:proofErr w:type="gramStart"/>
      <w:r w:rsidR="004C6EE4" w:rsidRPr="00A635FB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proofErr w:type="gramEnd"/>
      <w:r w:rsidR="004C6EE4" w:rsidRPr="00A635FB">
        <w:rPr>
          <w:rFonts w:ascii="Times New Roman" w:hAnsi="Times New Roman"/>
          <w:b/>
          <w:bCs/>
          <w:sz w:val="28"/>
          <w:szCs w:val="28"/>
          <w:lang w:val="uk-UA"/>
        </w:rPr>
        <w:t xml:space="preserve"> ДИСЦИПЛІНИ «</w:t>
      </w:r>
      <w:r w:rsidR="004C6EE4" w:rsidRPr="00A635FB">
        <w:rPr>
          <w:rFonts w:ascii="Times New Roman" w:hAnsi="Times New Roman"/>
          <w:b/>
          <w:sz w:val="28"/>
          <w:szCs w:val="28"/>
          <w:lang w:val="uk-UA"/>
        </w:rPr>
        <w:t>ГЕОГРАФІЯ ХАРКІВСЬКОЇ ОБЛАСТІ З ОСНОВАМИ РЕГІОНОЗНАВСТВА</w:t>
      </w:r>
      <w:r w:rsidR="004C6EE4" w:rsidRPr="00A635FB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:rsidR="004C6EE4" w:rsidRPr="004C6EE4" w:rsidRDefault="004C6EE4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  <w:t xml:space="preserve">Розділ </w:t>
      </w:r>
      <w:r w:rsidRPr="00B21FC6"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  <w:t>1. Природно-ресурсний потенціал та населення області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1. Географічне положення області як передумова суспільного розвитку.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Територія Харківщини. Місце в національній економічній системі. Адміністративно-територіальний устрій. Суспільно-географічне положення Харківської області. 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2. Історико-географічні аспекти заселення і розвитку території Харківщини.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Господарське освоєння Слобідської України. Розвиток продуктивних сил Харківської області в ХIХ-ХХ ст. Розвиток регіону за Радянську добу. Сучасні тенденції суспільного життя Харківщини за роки незалежності та новітні тенденції на зламі століть.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3. Природно-ресурсний потенціал Харківської області.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Окремі складові та значення у розвитку господарства. Основні потіння та класифікація ПРП. Структура ПРП області. Характеристика та оцінка природних умов та ресурсів області: мінеральні, земельні, водні, </w:t>
      </w:r>
      <w:proofErr w:type="spellStart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агрокліматичні</w:t>
      </w:r>
      <w:proofErr w:type="spellEnd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, рекреаційні, флористичні та фауністичні.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4. Геодемографічні особливості області.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Динаміка чисельності населення області за роки незалежності. Природний рух як основа демографічного відтворення області, сучасні тенденції основних демографічних процесів. Міграційний рух населення як відображення економічного розвитку регіону. Структура і склад населення області, демографічний капітал, трудовий потенціал. Особливості розселення населення Харківщини.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  <w:t xml:space="preserve">Розділ </w:t>
      </w:r>
      <w:r w:rsidRPr="00B21FC6">
        <w:rPr>
          <w:rFonts w:ascii="Times New Roman" w:eastAsia="Arial Unicode MS" w:hAnsi="Times New Roman"/>
          <w:b/>
          <w:bCs/>
          <w:i/>
          <w:color w:val="000000"/>
          <w:sz w:val="28"/>
          <w:szCs w:val="28"/>
          <w:lang w:val="uk-UA"/>
        </w:rPr>
        <w:t>2. Господарство області та особливості природокористування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>Тема 5. Господарство області</w:t>
      </w: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</w:rPr>
        <w:t xml:space="preserve">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Особливості та етапи формування і розвитку господарства області. Аналіз галузевої, функціональної, територіальної структури господарства області. Промисловість області: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lastRenderedPageBreak/>
        <w:t xml:space="preserve">динаміка, розміщення, особливості. Галузевий аналіз: паливна промисловість, електроенергетика, металургія, машинобудування, хімічний і </w:t>
      </w:r>
      <w:proofErr w:type="spellStart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лісовиробничий</w:t>
      </w:r>
      <w:proofErr w:type="spellEnd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 комплекс. Виробнича структура та спеціалізація </w:t>
      </w:r>
      <w:proofErr w:type="spellStart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агропромислвого</w:t>
      </w:r>
      <w:proofErr w:type="spellEnd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 комплексу, галузі  рослинництва та тваринництва, спеціалізація та концентрація виробництва с/г продукції, харчова промисловість. Територіальна організація господарства області. Проблеми та перспективи. Передумови формування транспортної системи регіону. Галузева, функціональна, територіальна структура транспортної системи регіону. Залізничний транспорт. Автомобільний транспорт. Авіаційний транспорт. Трубопровідний тра</w:t>
      </w:r>
      <w:bookmarkStart w:id="0" w:name="_GoBack"/>
      <w:bookmarkEnd w:id="0"/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нспорт. Міський транспорт. Проблеми та перспективи розвитку транспортної системи Харківщини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6. Соціальна сфера та рекреаційний потенціал, екологічні проблеми й природно-заповідний фонд області.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Соціальна сфера: склад, територіальна структура, проблеми і перспективи розвитку туристсько-рекреаційна діяльність, екологічні проблеми, природно-заповідний фонд області. Соціальний комплекс, територіальна та галузева структура: освітній, науковий, медичний комплекси; інфраструктура.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7. Зовнішньоекономічні зв’язки, інноваційно-інвестиційна діяльність.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Динаміка обсягів та структура зовнішньоекономічних зв’язків Харківщини. Країни-партнери. Особливості інноваційної та інвестиційної діяльності.</w:t>
      </w:r>
    </w:p>
    <w:p w:rsidR="000A7287" w:rsidRPr="00B21FC6" w:rsidRDefault="000A7287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B21FC6">
        <w:rPr>
          <w:rFonts w:ascii="Times New Roman" w:eastAsia="Arial Unicode MS" w:hAnsi="Times New Roman"/>
          <w:bCs/>
          <w:i/>
          <w:color w:val="000000"/>
          <w:sz w:val="28"/>
          <w:szCs w:val="28"/>
          <w:lang w:val="uk-UA"/>
        </w:rPr>
        <w:t xml:space="preserve">Тема 8. Регіональний розвиток: теоретичні основи. Стратегія сталого розвитку Харківської області.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Природні передумови. Соціальні передумови. Економічні передумови. Законодавчі передумови. Основи сталого розвитку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Стратегія СР до 2030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. Тенденцій реалізації та проблеми реалізації стратегії сталого розвитку регіону. Поняття, сутність та складові регіонального розвитку. Дерево цілей регіонального розвитку. Стратегічна мета та тактич</w:t>
      </w:r>
      <w:r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 xml:space="preserve">ні цілі. Побудова дерева цілей </w:t>
      </w:r>
      <w:r w:rsidRPr="00B21FC6">
        <w:rPr>
          <w:rFonts w:ascii="Times New Roman" w:eastAsia="Arial Unicode MS" w:hAnsi="Times New Roman"/>
          <w:bCs/>
          <w:color w:val="000000"/>
          <w:sz w:val="28"/>
          <w:szCs w:val="28"/>
          <w:lang w:val="uk-UA"/>
        </w:rPr>
        <w:t>Харківського регну із урахуванням різних аспектів стратегічної мети.</w:t>
      </w:r>
    </w:p>
    <w:p w:rsidR="002469A2" w:rsidRPr="00544D40" w:rsidRDefault="002469A2" w:rsidP="000A7287">
      <w:pPr>
        <w:tabs>
          <w:tab w:val="left" w:pos="142"/>
          <w:tab w:val="left" w:pos="284"/>
          <w:tab w:val="left" w:pos="567"/>
        </w:tabs>
        <w:spacing w:after="0" w:line="360" w:lineRule="auto"/>
        <w:ind w:right="-3" w:firstLine="709"/>
        <w:jc w:val="both"/>
        <w:rPr>
          <w:lang w:val="uk-UA"/>
        </w:rPr>
      </w:pPr>
    </w:p>
    <w:sectPr w:rsidR="002469A2" w:rsidRPr="00544D40" w:rsidSect="0073522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1BB"/>
    <w:multiLevelType w:val="multilevel"/>
    <w:tmpl w:val="ADFC09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03714570"/>
    <w:multiLevelType w:val="multilevel"/>
    <w:tmpl w:val="4E60294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3987EEC"/>
    <w:multiLevelType w:val="hybridMultilevel"/>
    <w:tmpl w:val="D8DE6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D529A7"/>
    <w:multiLevelType w:val="multilevel"/>
    <w:tmpl w:val="712406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4">
    <w:nsid w:val="050F3890"/>
    <w:multiLevelType w:val="hybridMultilevel"/>
    <w:tmpl w:val="419C761E"/>
    <w:lvl w:ilvl="0" w:tplc="DCDC9A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D291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14E9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C238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1A01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CE91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C255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7A59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2ECF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B044BD3"/>
    <w:multiLevelType w:val="hybridMultilevel"/>
    <w:tmpl w:val="23EEA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05E23"/>
    <w:multiLevelType w:val="hybridMultilevel"/>
    <w:tmpl w:val="7FCC5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D291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14E94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C238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1A01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CE91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C255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D7A59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2ECF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292049E"/>
    <w:multiLevelType w:val="multilevel"/>
    <w:tmpl w:val="8BD855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8">
    <w:nsid w:val="241F7A8A"/>
    <w:multiLevelType w:val="hybridMultilevel"/>
    <w:tmpl w:val="8CCAA0A2"/>
    <w:lvl w:ilvl="0" w:tplc="52D06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6A6990"/>
    <w:multiLevelType w:val="multilevel"/>
    <w:tmpl w:val="F42CE3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A621B2"/>
    <w:multiLevelType w:val="multilevel"/>
    <w:tmpl w:val="E71CE2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1">
    <w:nsid w:val="56CB7D08"/>
    <w:multiLevelType w:val="hybridMultilevel"/>
    <w:tmpl w:val="EBAA76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54A1CDC"/>
    <w:multiLevelType w:val="hybridMultilevel"/>
    <w:tmpl w:val="C5DE6BA4"/>
    <w:lvl w:ilvl="0" w:tplc="E6561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5682653"/>
    <w:multiLevelType w:val="hybridMultilevel"/>
    <w:tmpl w:val="8CCAA0A2"/>
    <w:lvl w:ilvl="0" w:tplc="52D06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FF531A"/>
    <w:multiLevelType w:val="multilevel"/>
    <w:tmpl w:val="B18E44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14"/>
  </w:num>
  <w:num w:numId="8">
    <w:abstractNumId w:val="5"/>
  </w:num>
  <w:num w:numId="9">
    <w:abstractNumId w:val="11"/>
  </w:num>
  <w:num w:numId="10">
    <w:abstractNumId w:val="10"/>
  </w:num>
  <w:num w:numId="11">
    <w:abstractNumId w:val="7"/>
  </w:num>
  <w:num w:numId="12">
    <w:abstractNumId w:val="0"/>
  </w:num>
  <w:num w:numId="13">
    <w:abstractNumId w:val="8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2D"/>
    <w:rsid w:val="00076C4E"/>
    <w:rsid w:val="000A6D03"/>
    <w:rsid w:val="000A7287"/>
    <w:rsid w:val="001C24C5"/>
    <w:rsid w:val="00223D7B"/>
    <w:rsid w:val="002469A2"/>
    <w:rsid w:val="003033A6"/>
    <w:rsid w:val="003F61AE"/>
    <w:rsid w:val="004C6EE4"/>
    <w:rsid w:val="00544D40"/>
    <w:rsid w:val="005A3DD7"/>
    <w:rsid w:val="005D66C7"/>
    <w:rsid w:val="0073522B"/>
    <w:rsid w:val="009317F2"/>
    <w:rsid w:val="00A21C5C"/>
    <w:rsid w:val="00A635FB"/>
    <w:rsid w:val="00BA04EC"/>
    <w:rsid w:val="00BC0B5F"/>
    <w:rsid w:val="00E32A2D"/>
    <w:rsid w:val="00F8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4EC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A04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BA04EC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4EC"/>
    <w:pPr>
      <w:shd w:val="clear" w:color="auto" w:fill="FFFFFF"/>
      <w:spacing w:before="120" w:after="120" w:line="216" w:lineRule="exact"/>
      <w:ind w:hanging="126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5">
    <w:name w:val="Normal (Web)"/>
    <w:basedOn w:val="a"/>
    <w:unhideWhenUsed/>
    <w:rsid w:val="00BA04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A04EC"/>
    <w:pPr>
      <w:ind w:left="720"/>
      <w:contextualSpacing/>
    </w:pPr>
  </w:style>
  <w:style w:type="character" w:styleId="a7">
    <w:name w:val="Hyperlink"/>
    <w:rsid w:val="00A21C5C"/>
    <w:rPr>
      <w:color w:val="0000FF"/>
      <w:u w:val="single"/>
    </w:rPr>
  </w:style>
  <w:style w:type="paragraph" w:customStyle="1" w:styleId="Default">
    <w:name w:val="Default"/>
    <w:rsid w:val="004C6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4EC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BA04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Основной текст (2)_"/>
    <w:link w:val="20"/>
    <w:rsid w:val="00BA04EC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4EC"/>
    <w:pPr>
      <w:shd w:val="clear" w:color="auto" w:fill="FFFFFF"/>
      <w:spacing w:before="120" w:after="120" w:line="216" w:lineRule="exact"/>
      <w:ind w:hanging="126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5">
    <w:name w:val="Normal (Web)"/>
    <w:basedOn w:val="a"/>
    <w:unhideWhenUsed/>
    <w:rsid w:val="00BA04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A04EC"/>
    <w:pPr>
      <w:ind w:left="720"/>
      <w:contextualSpacing/>
    </w:pPr>
  </w:style>
  <w:style w:type="character" w:styleId="a7">
    <w:name w:val="Hyperlink"/>
    <w:rsid w:val="00A21C5C"/>
    <w:rPr>
      <w:color w:val="0000FF"/>
      <w:u w:val="single"/>
    </w:rPr>
  </w:style>
  <w:style w:type="paragraph" w:customStyle="1" w:styleId="Default">
    <w:name w:val="Default"/>
    <w:rsid w:val="004C6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82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00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29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999B-17B2-4556-8032-F1678631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17</cp:revision>
  <dcterms:created xsi:type="dcterms:W3CDTF">2020-09-20T09:31:00Z</dcterms:created>
  <dcterms:modified xsi:type="dcterms:W3CDTF">2026-02-09T10:35:00Z</dcterms:modified>
</cp:coreProperties>
</file>